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EE" w:rsidRPr="003515EE" w:rsidRDefault="003515EE">
      <w:pPr>
        <w:rPr>
          <w:b/>
        </w:rPr>
      </w:pPr>
      <w:r w:rsidRPr="003515EE">
        <w:rPr>
          <w:b/>
        </w:rPr>
        <w:t xml:space="preserve">Pro und Contra </w:t>
      </w:r>
      <w:r>
        <w:rPr>
          <w:b/>
        </w:rPr>
        <w:t xml:space="preserve">Argumente </w:t>
      </w:r>
      <w:r w:rsidRPr="003515EE">
        <w:rPr>
          <w:b/>
        </w:rPr>
        <w:t>Bezahlkarte (BK)</w:t>
      </w:r>
    </w:p>
    <w:p w:rsidR="003515EE" w:rsidRDefault="003515EE"/>
    <w:p w:rsidR="003515EE" w:rsidRDefault="003515EE">
      <w:r>
        <w:t xml:space="preserve">Von der Einführung der BK verspricht man sich </w:t>
      </w:r>
      <w:proofErr w:type="gramStart"/>
      <w:r>
        <w:t>u.a. :</w:t>
      </w:r>
      <w:proofErr w:type="gramEnd"/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15EE">
        <w:rPr>
          <w:sz w:val="24"/>
          <w:szCs w:val="24"/>
        </w:rPr>
        <w:t>Weniger Asylsuchende kommen nach Deutschland</w:t>
      </w:r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proofErr w:type="gramStart"/>
      <w:r>
        <w:rPr>
          <w:sz w:val="24"/>
          <w:szCs w:val="24"/>
        </w:rPr>
        <w:t xml:space="preserve">Verhinderung </w:t>
      </w:r>
      <w:r>
        <w:rPr>
          <w:sz w:val="24"/>
          <w:szCs w:val="24"/>
        </w:rPr>
        <w:t xml:space="preserve"> des</w:t>
      </w:r>
      <w:proofErr w:type="gramEnd"/>
      <w:r>
        <w:rPr>
          <w:sz w:val="24"/>
          <w:szCs w:val="24"/>
        </w:rPr>
        <w:t xml:space="preserve"> Transfers von Geld in die Heimat</w:t>
      </w:r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Verwaltungsaufwand wird mit der BK reduziert; ein Beitrag zu weniger Bürokratie</w:t>
      </w:r>
    </w:p>
    <w:p w:rsidR="003515EE" w:rsidRPr="003515EE" w:rsidRDefault="003515EE" w:rsidP="003515EE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15EE">
        <w:rPr>
          <w:sz w:val="24"/>
          <w:szCs w:val="24"/>
        </w:rPr>
        <w:t xml:space="preserve">Überweisungen werden </w:t>
      </w:r>
      <w:proofErr w:type="gramStart"/>
      <w:r w:rsidRPr="003515EE">
        <w:rPr>
          <w:sz w:val="24"/>
          <w:szCs w:val="24"/>
        </w:rPr>
        <w:t>verhindert ,</w:t>
      </w:r>
      <w:proofErr w:type="gramEnd"/>
      <w:r w:rsidRPr="003515EE">
        <w:rPr>
          <w:sz w:val="24"/>
          <w:szCs w:val="24"/>
        </w:rPr>
        <w:t xml:space="preserve"> um „Fehlanreize“  zu vermeiden und um „irreguläre Migration“ zu verhindern.</w:t>
      </w:r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Schlepper können nicht mehr finanziert werden</w:t>
      </w:r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der BK ist eine r</w:t>
      </w:r>
      <w:r>
        <w:rPr>
          <w:sz w:val="24"/>
          <w:szCs w:val="24"/>
        </w:rPr>
        <w:t xml:space="preserve">egionale Beschränkung </w:t>
      </w:r>
      <w:r>
        <w:rPr>
          <w:sz w:val="24"/>
          <w:szCs w:val="24"/>
        </w:rPr>
        <w:t>möglich und sinnvoll</w:t>
      </w:r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15EE">
        <w:rPr>
          <w:sz w:val="24"/>
          <w:szCs w:val="24"/>
        </w:rPr>
        <w:t>Missbrauch verhindern:</w:t>
      </w:r>
      <w:r>
        <w:rPr>
          <w:sz w:val="24"/>
          <w:szCs w:val="24"/>
        </w:rPr>
        <w:t xml:space="preserve"> bestimmte Geschäfte und Waren können ausgeschlossen werden (z.B. Wettbüros, Alkoholkäufe)</w:t>
      </w:r>
    </w:p>
    <w:p w:rsid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Länderspezifische  Regelungen</w:t>
      </w:r>
      <w:proofErr w:type="gramEnd"/>
      <w:r>
        <w:rPr>
          <w:sz w:val="24"/>
          <w:szCs w:val="24"/>
        </w:rPr>
        <w:t xml:space="preserve"> sind möglich</w:t>
      </w:r>
    </w:p>
    <w:p w:rsidR="003515EE" w:rsidRPr="003515EE" w:rsidRDefault="003515EE" w:rsidP="003515EE">
      <w:pPr>
        <w:pStyle w:val="Listenabsatz"/>
        <w:numPr>
          <w:ilvl w:val="0"/>
          <w:numId w:val="1"/>
        </w:numPr>
        <w:rPr>
          <w:sz w:val="24"/>
          <w:szCs w:val="24"/>
        </w:rPr>
      </w:pPr>
    </w:p>
    <w:p w:rsidR="003515EE" w:rsidRPr="008C466F" w:rsidRDefault="003515EE" w:rsidP="003515EE">
      <w:pPr>
        <w:rPr>
          <w:b/>
        </w:rPr>
      </w:pPr>
      <w:r w:rsidRPr="008C466F">
        <w:rPr>
          <w:b/>
        </w:rPr>
        <w:t>Einige Contra-Argumente:</w:t>
      </w:r>
    </w:p>
    <w:p w:rsidR="003515EE" w:rsidRDefault="003515EE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D52C8">
        <w:rPr>
          <w:sz w:val="24"/>
          <w:szCs w:val="24"/>
        </w:rPr>
        <w:t>Es gibt m.W. keine Studie die belegt, dass es mit der BK weniger Asylsuchende geben wird.</w:t>
      </w:r>
    </w:p>
    <w:p w:rsidR="006D52C8" w:rsidRDefault="006D52C8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Kaum ein Kriegsflüchtling würde sich von der BK abbringen lassen, nach D zu wollen</w:t>
      </w:r>
    </w:p>
    <w:p w:rsidR="006D52C8" w:rsidRPr="006D52C8" w:rsidRDefault="006D52C8" w:rsidP="006D52C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52C8">
        <w:rPr>
          <w:sz w:val="24"/>
          <w:szCs w:val="24"/>
        </w:rPr>
        <w:t>Asylbewerber erhalten sehr wenig Geld und jetzt schon Sachleistungen; der Betrag ist zu gering, um höhere Summen in das Heimatland transferieren zu können.</w:t>
      </w:r>
    </w:p>
    <w:p w:rsidR="006D52C8" w:rsidRDefault="006D52C8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D52C8">
        <w:rPr>
          <w:sz w:val="24"/>
          <w:szCs w:val="24"/>
        </w:rPr>
        <w:t>Einige befürchten vermehrten Bürokratie Aufwand</w:t>
      </w:r>
      <w:r>
        <w:rPr>
          <w:sz w:val="24"/>
          <w:szCs w:val="24"/>
        </w:rPr>
        <w:t xml:space="preserve"> für Sozialämter/</w:t>
      </w:r>
      <w:proofErr w:type="gramStart"/>
      <w:r>
        <w:rPr>
          <w:sz w:val="24"/>
          <w:szCs w:val="24"/>
        </w:rPr>
        <w:t xml:space="preserve">Erstaufnahmeeinrichtungen; </w:t>
      </w:r>
      <w:r w:rsidRPr="006D52C8">
        <w:rPr>
          <w:sz w:val="24"/>
          <w:szCs w:val="24"/>
        </w:rPr>
        <w:t xml:space="preserve"> </w:t>
      </w:r>
      <w:r w:rsidRPr="006D52C8">
        <w:rPr>
          <w:sz w:val="24"/>
          <w:szCs w:val="24"/>
        </w:rPr>
        <w:t>Stimmt</w:t>
      </w:r>
      <w:proofErr w:type="gramEnd"/>
      <w:r w:rsidRPr="006D52C8">
        <w:rPr>
          <w:sz w:val="24"/>
          <w:szCs w:val="24"/>
        </w:rPr>
        <w:t xml:space="preserve"> das ?</w:t>
      </w:r>
    </w:p>
    <w:p w:rsidR="006D52C8" w:rsidRPr="006D52C8" w:rsidRDefault="006D52C8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D52C8">
        <w:rPr>
          <w:sz w:val="24"/>
          <w:szCs w:val="24"/>
        </w:rPr>
        <w:t xml:space="preserve">nach diversen Studien wird davon ausgegangen, dass Leistungsbezieher kaum oder nicht überweisen. Überwiesen </w:t>
      </w:r>
      <w:r>
        <w:rPr>
          <w:sz w:val="24"/>
          <w:szCs w:val="24"/>
        </w:rPr>
        <w:t xml:space="preserve">ins Heimatland </w:t>
      </w:r>
      <w:r w:rsidRPr="006D52C8">
        <w:rPr>
          <w:sz w:val="24"/>
          <w:szCs w:val="24"/>
        </w:rPr>
        <w:t>wird von Menschen, die Gehalt beziehen.</w:t>
      </w:r>
    </w:p>
    <w:p w:rsidR="006D52C8" w:rsidRPr="006D52C8" w:rsidRDefault="006D52C8" w:rsidP="00D85C2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D52C8">
        <w:rPr>
          <w:sz w:val="24"/>
          <w:szCs w:val="24"/>
        </w:rPr>
        <w:t xml:space="preserve">BK ist nicht mit Konto verknüpft. Aber das Konto ist notwendig bei z.B. Handy </w:t>
      </w:r>
      <w:proofErr w:type="gramStart"/>
      <w:r w:rsidRPr="006D52C8">
        <w:rPr>
          <w:sz w:val="24"/>
          <w:szCs w:val="24"/>
        </w:rPr>
        <w:t>Vertrag,  Abschluss</w:t>
      </w:r>
      <w:proofErr w:type="gramEnd"/>
      <w:r w:rsidRPr="006D52C8">
        <w:rPr>
          <w:sz w:val="24"/>
          <w:szCs w:val="24"/>
        </w:rPr>
        <w:t xml:space="preserve"> einer </w:t>
      </w:r>
      <w:proofErr w:type="spellStart"/>
      <w:r w:rsidRPr="006D52C8">
        <w:rPr>
          <w:sz w:val="24"/>
          <w:szCs w:val="24"/>
        </w:rPr>
        <w:t>Haftpflichtvers</w:t>
      </w:r>
      <w:proofErr w:type="spellEnd"/>
      <w:r w:rsidRPr="006D52C8">
        <w:rPr>
          <w:sz w:val="24"/>
          <w:szCs w:val="24"/>
        </w:rPr>
        <w:t>, kleine Einkäufe im Internet.</w:t>
      </w:r>
      <w:r w:rsidRPr="006D52C8">
        <w:rPr>
          <w:sz w:val="24"/>
          <w:szCs w:val="24"/>
        </w:rPr>
        <w:t xml:space="preserve"> </w:t>
      </w:r>
      <w:r w:rsidRPr="006D52C8">
        <w:rPr>
          <w:sz w:val="24"/>
          <w:szCs w:val="24"/>
        </w:rPr>
        <w:t>Für z.B. Toilettennutzung, Einkauf in kleinen Läden, Klassenkasse, Gemeindefest, Schulcafeteria</w:t>
      </w:r>
      <w:r w:rsidRPr="006D52C8">
        <w:rPr>
          <w:sz w:val="24"/>
          <w:szCs w:val="24"/>
        </w:rPr>
        <w:t>,</w:t>
      </w:r>
      <w:r w:rsidRPr="006D52C8">
        <w:rPr>
          <w:sz w:val="24"/>
          <w:szCs w:val="24"/>
        </w:rPr>
        <w:t xml:space="preserve"> Bezahlen am Kiosk.</w:t>
      </w:r>
      <w:r>
        <w:rPr>
          <w:sz w:val="24"/>
          <w:szCs w:val="24"/>
        </w:rPr>
        <w:t xml:space="preserve"> </w:t>
      </w:r>
      <w:r w:rsidRPr="006D52C8">
        <w:rPr>
          <w:sz w:val="24"/>
          <w:szCs w:val="24"/>
        </w:rPr>
        <w:t>Die Ratenzahlung zur Begleichung von Rechtsanwaltskosten ist unmöglich.</w:t>
      </w:r>
    </w:p>
    <w:p w:rsidR="006D52C8" w:rsidRDefault="006D52C8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Schon jetzt ist der frei zur Verfügung stehende Teil der Leistungen sehr gering: Bei alleinstehenden Erwachsenen bei maximal 204 € und der max. Regelleistungsbetrag beträgt 460 € </w:t>
      </w:r>
      <w:proofErr w:type="gramStart"/>
      <w:r>
        <w:rPr>
          <w:sz w:val="24"/>
          <w:szCs w:val="24"/>
        </w:rPr>
        <w:t>( 100</w:t>
      </w:r>
      <w:proofErr w:type="gramEnd"/>
      <w:r>
        <w:rPr>
          <w:sz w:val="24"/>
          <w:szCs w:val="24"/>
        </w:rPr>
        <w:t xml:space="preserve"> € weniger als Bürgergeld)</w:t>
      </w:r>
    </w:p>
    <w:p w:rsidR="006D52C8" w:rsidRDefault="006D52C8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Schon der jetzige Betrag ist zu gering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um</w:t>
      </w:r>
      <w:r>
        <w:rPr>
          <w:sz w:val="24"/>
          <w:szCs w:val="24"/>
        </w:rPr>
        <w:t xml:space="preserve"> Schlepper </w:t>
      </w:r>
      <w:r>
        <w:rPr>
          <w:sz w:val="24"/>
          <w:szCs w:val="24"/>
        </w:rPr>
        <w:t xml:space="preserve">zu bezahlen, zumal diese bezahlt werden </w:t>
      </w:r>
      <w:r>
        <w:rPr>
          <w:sz w:val="24"/>
          <w:szCs w:val="24"/>
        </w:rPr>
        <w:t>bevor man in D ankommt</w:t>
      </w:r>
    </w:p>
    <w:p w:rsidR="006D52C8" w:rsidRDefault="006D52C8" w:rsidP="006D52C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Wollen wir die Selbstbestimmung (im GG verankert) </w:t>
      </w:r>
      <w:proofErr w:type="gramStart"/>
      <w:r>
        <w:rPr>
          <w:sz w:val="24"/>
          <w:szCs w:val="24"/>
        </w:rPr>
        <w:t>einschränken ?</w:t>
      </w:r>
      <w:proofErr w:type="gramEnd"/>
    </w:p>
    <w:p w:rsidR="006D52C8" w:rsidRPr="006D52C8" w:rsidRDefault="006D52C8" w:rsidP="006D52C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52C8">
        <w:rPr>
          <w:sz w:val="24"/>
          <w:szCs w:val="24"/>
        </w:rPr>
        <w:t xml:space="preserve">Inwiefern widerspricht die BK den Menschenrechten? </w:t>
      </w:r>
      <w:r w:rsidRPr="006D52C8">
        <w:rPr>
          <w:sz w:val="24"/>
          <w:szCs w:val="24"/>
        </w:rPr>
        <w:t>Behinderung von Integration</w:t>
      </w:r>
      <w:r w:rsidRPr="006D52C8">
        <w:rPr>
          <w:sz w:val="24"/>
          <w:szCs w:val="24"/>
        </w:rPr>
        <w:t xml:space="preserve"> </w:t>
      </w:r>
      <w:proofErr w:type="gramStart"/>
      <w:r w:rsidRPr="006D52C8">
        <w:rPr>
          <w:sz w:val="24"/>
          <w:szCs w:val="24"/>
        </w:rPr>
        <w:t xml:space="preserve">und </w:t>
      </w:r>
      <w:r w:rsidRPr="006D52C8">
        <w:rPr>
          <w:sz w:val="24"/>
          <w:szCs w:val="24"/>
        </w:rPr>
        <w:t xml:space="preserve"> Ausgrenzung</w:t>
      </w:r>
      <w:proofErr w:type="gramEnd"/>
      <w:r w:rsidRPr="006D52C8">
        <w:rPr>
          <w:sz w:val="24"/>
          <w:szCs w:val="24"/>
        </w:rPr>
        <w:t xml:space="preserve">; </w:t>
      </w:r>
      <w:r w:rsidRPr="006D52C8">
        <w:rPr>
          <w:sz w:val="24"/>
          <w:szCs w:val="24"/>
        </w:rPr>
        <w:t>Verlust an Selbstbestimmung/Gängelung</w:t>
      </w:r>
      <w:r w:rsidRPr="006D52C8">
        <w:rPr>
          <w:sz w:val="24"/>
          <w:szCs w:val="24"/>
        </w:rPr>
        <w:t xml:space="preserve">.  </w:t>
      </w:r>
      <w:r w:rsidRPr="006D52C8">
        <w:rPr>
          <w:sz w:val="24"/>
          <w:szCs w:val="24"/>
        </w:rPr>
        <w:t xml:space="preserve">Die Freizügigkeit wird eingeschränkt; wer Verwandte oder Freunde besuchen möchte, wer eine entfernte Beratungsstelle besuchen möchte, hat ein Problem. </w:t>
      </w:r>
    </w:p>
    <w:p w:rsidR="006D52C8" w:rsidRDefault="006D52C8" w:rsidP="006D52C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Verfassungsgericht wird missachtet (2021 wurde vereinbart, das AsylbLG zu überarbeiten.  Das Gericht hatte die Leistungen als unzureichend erklärt).</w:t>
      </w:r>
    </w:p>
    <w:p w:rsidR="006D52C8" w:rsidRDefault="006D52C8" w:rsidP="006D52C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einem Gutachten des wissenschaftlichen Dienstes des Bundestages vom Dez 2023 w</w:t>
      </w:r>
      <w:r w:rsidR="008C466F">
        <w:rPr>
          <w:sz w:val="24"/>
          <w:szCs w:val="24"/>
        </w:rPr>
        <w:t>ird</w:t>
      </w:r>
      <w:r>
        <w:rPr>
          <w:sz w:val="24"/>
          <w:szCs w:val="24"/>
        </w:rPr>
        <w:t xml:space="preserve"> die Wartezeit von 18 Monaten als bedenklich</w:t>
      </w:r>
      <w:r w:rsidR="008C466F">
        <w:rPr>
          <w:sz w:val="24"/>
          <w:szCs w:val="24"/>
        </w:rPr>
        <w:t xml:space="preserve"> bezeichnet</w:t>
      </w:r>
      <w:r>
        <w:rPr>
          <w:sz w:val="24"/>
          <w:szCs w:val="24"/>
        </w:rPr>
        <w:t>; jetzt soll eine Ausweitung auf 36 Monaten eingeführt werden.</w:t>
      </w:r>
    </w:p>
    <w:p w:rsidR="006D52C8" w:rsidRDefault="008C466F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Zumindest in der AfD wird darüber nachgedacht und gefordert, die BK auf alle Bürgergeldbezieher auszuweiten</w:t>
      </w:r>
    </w:p>
    <w:p w:rsidR="008C466F" w:rsidRPr="008C466F" w:rsidRDefault="008C466F" w:rsidP="008C466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C466F">
        <w:rPr>
          <w:sz w:val="24"/>
          <w:szCs w:val="24"/>
        </w:rPr>
        <w:t xml:space="preserve">Hannover will mit einer Visa Karte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Card) </w:t>
      </w:r>
      <w:r w:rsidRPr="008C466F">
        <w:rPr>
          <w:sz w:val="24"/>
          <w:szCs w:val="24"/>
        </w:rPr>
        <w:t>die Diskriminierung verhindern.</w:t>
      </w:r>
    </w:p>
    <w:p w:rsidR="008C466F" w:rsidRDefault="008C466F" w:rsidP="006D52C8">
      <w:pPr>
        <w:pStyle w:val="Listenabsatz"/>
        <w:numPr>
          <w:ilvl w:val="0"/>
          <w:numId w:val="2"/>
        </w:numPr>
        <w:rPr>
          <w:sz w:val="24"/>
          <w:szCs w:val="24"/>
        </w:rPr>
      </w:pPr>
    </w:p>
    <w:p w:rsidR="008C466F" w:rsidRPr="008C466F" w:rsidRDefault="008C466F" w:rsidP="008C466F">
      <w:pPr>
        <w:rPr>
          <w:b/>
          <w:sz w:val="24"/>
          <w:szCs w:val="24"/>
        </w:rPr>
      </w:pPr>
      <w:r w:rsidRPr="008C466F">
        <w:rPr>
          <w:b/>
          <w:sz w:val="24"/>
          <w:szCs w:val="24"/>
        </w:rPr>
        <w:t xml:space="preserve">Stellungnahmen: </w:t>
      </w:r>
    </w:p>
    <w:p w:rsidR="008C466F" w:rsidRPr="008C466F" w:rsidRDefault="008C466F" w:rsidP="00817102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8C466F">
        <w:rPr>
          <w:sz w:val="24"/>
          <w:szCs w:val="24"/>
        </w:rPr>
        <w:t xml:space="preserve">Pro Asyl: die Karte soll </w:t>
      </w:r>
      <w:proofErr w:type="gramStart"/>
      <w:r w:rsidRPr="008C466F">
        <w:rPr>
          <w:sz w:val="24"/>
          <w:szCs w:val="24"/>
        </w:rPr>
        <w:t>abschrecken !</w:t>
      </w:r>
      <w:proofErr w:type="gramEnd"/>
      <w:r w:rsidRPr="008C466F">
        <w:rPr>
          <w:sz w:val="24"/>
          <w:szCs w:val="24"/>
        </w:rPr>
        <w:t xml:space="preserve"> </w:t>
      </w:r>
      <w:r w:rsidRPr="008C466F">
        <w:rPr>
          <w:sz w:val="24"/>
          <w:szCs w:val="24"/>
        </w:rPr>
        <w:t xml:space="preserve">Pro Asyl fordert eine möglichst diskriminierungsfreie </w:t>
      </w:r>
      <w:proofErr w:type="gramStart"/>
      <w:r w:rsidRPr="008C466F">
        <w:rPr>
          <w:sz w:val="24"/>
          <w:szCs w:val="24"/>
        </w:rPr>
        <w:t>Ausgestaltung .</w:t>
      </w:r>
      <w:proofErr w:type="gramEnd"/>
    </w:p>
    <w:p w:rsidR="008C466F" w:rsidRDefault="008C466F" w:rsidP="008C466F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 Paritätische lehnt die Karte ab; er spricht von einer Ausgrenzung von Flüchtlingen.</w:t>
      </w:r>
    </w:p>
    <w:p w:rsidR="008C466F" w:rsidRDefault="008C466F" w:rsidP="008C466F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 Sozialverband Deutschland spricht von einer populistisch aufgeladenen Scheindebatte.</w:t>
      </w:r>
    </w:p>
    <w:p w:rsidR="008C466F" w:rsidRDefault="008C466F" w:rsidP="008C466F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Birgit Naujoks (FR NRW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Die BK beruhe auf der falschen Annahme, dass Sozialleistungen „Pull Faktoren“ darstellen; Eine autonome Verwendung wird verhindert. Die BK fördert Vorurteile gegen die Betroffenen.</w:t>
      </w:r>
    </w:p>
    <w:p w:rsidR="008C466F" w:rsidRDefault="008C466F" w:rsidP="008C466F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Eine Studie des </w:t>
      </w:r>
      <w:proofErr w:type="spellStart"/>
      <w:r>
        <w:rPr>
          <w:sz w:val="24"/>
          <w:szCs w:val="24"/>
        </w:rPr>
        <w:t>BaMF</w:t>
      </w:r>
      <w:proofErr w:type="spellEnd"/>
      <w:r>
        <w:rPr>
          <w:sz w:val="24"/>
          <w:szCs w:val="24"/>
        </w:rPr>
        <w:t xml:space="preserve"> zeigt, dass die Höhe der Sozialleistungen auf der Flucht kaum relevant </w:t>
      </w:r>
      <w:proofErr w:type="gramStart"/>
      <w:r>
        <w:rPr>
          <w:sz w:val="24"/>
          <w:szCs w:val="24"/>
        </w:rPr>
        <w:t>sind</w:t>
      </w:r>
      <w:proofErr w:type="gramEnd"/>
      <w:r>
        <w:rPr>
          <w:sz w:val="24"/>
          <w:szCs w:val="24"/>
        </w:rPr>
        <w:t>.</w:t>
      </w:r>
    </w:p>
    <w:p w:rsidR="008C466F" w:rsidRDefault="008C466F" w:rsidP="008C466F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C466F">
        <w:rPr>
          <w:sz w:val="24"/>
          <w:szCs w:val="24"/>
        </w:rPr>
        <w:t xml:space="preserve">NRW Grüne (B. </w:t>
      </w:r>
      <w:proofErr w:type="gramStart"/>
      <w:r w:rsidRPr="008C466F">
        <w:rPr>
          <w:sz w:val="24"/>
          <w:szCs w:val="24"/>
        </w:rPr>
        <w:t xml:space="preserve">Rauer)   </w:t>
      </w:r>
      <w:proofErr w:type="gramEnd"/>
      <w:r w:rsidRPr="008C466F">
        <w:rPr>
          <w:sz w:val="24"/>
          <w:szCs w:val="24"/>
        </w:rPr>
        <w:t xml:space="preserve">fordern eine „diskriminierungsfreie Ausgestaltung nach dem Vorbild der </w:t>
      </w:r>
      <w:proofErr w:type="spellStart"/>
      <w:r w:rsidRPr="008C466F">
        <w:rPr>
          <w:sz w:val="24"/>
          <w:szCs w:val="24"/>
        </w:rPr>
        <w:t>SocialCard</w:t>
      </w:r>
      <w:proofErr w:type="spellEnd"/>
      <w:r w:rsidRPr="008C466F">
        <w:rPr>
          <w:sz w:val="24"/>
          <w:szCs w:val="24"/>
        </w:rPr>
        <w:t xml:space="preserve"> in Hannover“</w:t>
      </w:r>
    </w:p>
    <w:p w:rsidR="008C466F" w:rsidRDefault="008C466F" w:rsidP="008C466F">
      <w:pPr>
        <w:spacing w:after="0" w:line="240" w:lineRule="auto"/>
        <w:rPr>
          <w:sz w:val="24"/>
          <w:szCs w:val="24"/>
        </w:rPr>
      </w:pPr>
    </w:p>
    <w:p w:rsidR="00B005FF" w:rsidRPr="008C466F" w:rsidRDefault="00B005FF" w:rsidP="008C466F">
      <w:pPr>
        <w:spacing w:after="0" w:line="240" w:lineRule="auto"/>
        <w:rPr>
          <w:sz w:val="24"/>
          <w:szCs w:val="24"/>
        </w:rPr>
      </w:pPr>
    </w:p>
    <w:p w:rsidR="008C466F" w:rsidRPr="008C466F" w:rsidRDefault="008C466F" w:rsidP="008C466F">
      <w:pPr>
        <w:rPr>
          <w:sz w:val="24"/>
          <w:szCs w:val="24"/>
        </w:rPr>
      </w:pPr>
      <w:r w:rsidRPr="008C466F">
        <w:rPr>
          <w:sz w:val="24"/>
          <w:szCs w:val="24"/>
        </w:rPr>
        <w:t>(einige) Quellen / Stand 02.03.2024</w:t>
      </w:r>
    </w:p>
    <w:p w:rsidR="008C466F" w:rsidRDefault="008C466F" w:rsidP="008C466F">
      <w:pPr>
        <w:spacing w:after="0" w:line="240" w:lineRule="auto"/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F512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https://www.bundestag.de/dokumente/textarchiv/2023/kw41-de-bezahlkarte-970834</w:t>
        </w:r>
      </w:hyperlink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8C46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https://www.bundestag.de/resource/blob/986462/c13a97b53db6e730db7a28774c646dfe/WD-3-138-23-pdf.pdf</w:t>
        </w:r>
      </w:hyperlink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8C46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https://www.der-paritaetische.de/alle-meldungen/bezahlkarten-fuer-asylbewerberinnen-paritaetischer-lehnt-einfuehrung-ab/</w:t>
        </w:r>
      </w:hyperlink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8C46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https://www.proasyl.de/pressemitteilung/bezahlkarte-per-gesetz-verschaerfen/</w:t>
        </w:r>
      </w:hyperlink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8C46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https://www.nds-fluerat.org/wp-content/uploads/2024/01/WD-3-138-23-AsylbLG.pdf</w:t>
        </w:r>
      </w:hyperlink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Pr="008C46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https://gruene-fraktion-nrw.de/fachnewsletter-ausgaben/kommunalinfo-aktueller-sachstand-zur-bezahlkarte-fuer-gefluechtete/</w:t>
        </w:r>
      </w:hyperlink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466F" w:rsidRPr="008C466F" w:rsidRDefault="008C466F" w:rsidP="008C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466F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https://www.bundestag.de/dokumente/textarchiv/2024/kw08-de-aktuelle-stunde-bezahlkarte-990674</w:t>
      </w:r>
    </w:p>
    <w:p w:rsidR="008C466F" w:rsidRDefault="008C466F" w:rsidP="008C466F">
      <w:pPr>
        <w:pStyle w:val="berschrift1"/>
      </w:pPr>
      <w:hyperlink r:id="rId11" w:history="1">
        <w:r>
          <w:rPr>
            <w:rStyle w:val="Hyperlink"/>
            <w:color w:val="000000" w:themeColor="text1"/>
            <w:sz w:val="24"/>
            <w:szCs w:val="24"/>
          </w:rPr>
          <w:t>https://www.frnrw.de/fileadmin/frnrw/media/downloads/In_eigener_Sache/Schnellinfo/Schnellinfo_02_2024.pdf</w:t>
        </w:r>
      </w:hyperlink>
    </w:p>
    <w:p w:rsidR="00B005FF" w:rsidRPr="00B005FF" w:rsidRDefault="00B005FF" w:rsidP="00B005FF"/>
    <w:p w:rsidR="00B005FF" w:rsidRPr="00B005FF" w:rsidRDefault="00B005FF" w:rsidP="00B005FF">
      <w:pPr>
        <w:ind w:left="360"/>
        <w:rPr>
          <w:sz w:val="24"/>
          <w:szCs w:val="24"/>
        </w:rPr>
      </w:pPr>
      <w:hyperlink r:id="rId12" w:history="1">
        <w:r w:rsidRPr="00B005FF">
          <w:rPr>
            <w:rStyle w:val="Hyperlink"/>
            <w:sz w:val="24"/>
            <w:szCs w:val="24"/>
          </w:rPr>
          <w:t>https://www.ssoar.info/ssoar/handle/document/67550</w:t>
        </w:r>
      </w:hyperlink>
    </w:p>
    <w:p w:rsidR="00B005FF" w:rsidRPr="00B005FF" w:rsidRDefault="00B005FF" w:rsidP="00B005FF">
      <w:pPr>
        <w:ind w:left="360"/>
        <w:rPr>
          <w:sz w:val="24"/>
          <w:szCs w:val="24"/>
        </w:rPr>
      </w:pPr>
      <w:r w:rsidRPr="00B005FF">
        <w:rPr>
          <w:sz w:val="24"/>
          <w:szCs w:val="24"/>
        </w:rPr>
        <w:t>https://mediendienst-integration.de/migration/flucht-asyl/migrationflucht-asylversorgung.html</w:t>
      </w:r>
    </w:p>
    <w:p w:rsidR="00B005FF" w:rsidRPr="00B005FF" w:rsidRDefault="00B005FF" w:rsidP="00B005FF"/>
    <w:p w:rsidR="00B005FF" w:rsidRPr="00B005FF" w:rsidRDefault="00B005FF" w:rsidP="00B005FF"/>
    <w:p w:rsidR="008C466F" w:rsidRPr="008C466F" w:rsidRDefault="008C466F" w:rsidP="00B005F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D52C8" w:rsidRPr="00B005FF" w:rsidRDefault="006D52C8" w:rsidP="00B005FF">
      <w:pPr>
        <w:ind w:left="360"/>
        <w:rPr>
          <w:sz w:val="24"/>
          <w:szCs w:val="24"/>
        </w:rPr>
      </w:pPr>
    </w:p>
    <w:p w:rsidR="003515EE" w:rsidRDefault="003515EE" w:rsidP="003515EE"/>
    <w:sectPr w:rsidR="00351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5EAD"/>
    <w:multiLevelType w:val="hybridMultilevel"/>
    <w:tmpl w:val="0060C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A19"/>
    <w:multiLevelType w:val="hybridMultilevel"/>
    <w:tmpl w:val="EA58C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523F"/>
    <w:multiLevelType w:val="hybridMultilevel"/>
    <w:tmpl w:val="FE7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190"/>
    <w:multiLevelType w:val="hybridMultilevel"/>
    <w:tmpl w:val="C4EA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1652"/>
    <w:multiLevelType w:val="hybridMultilevel"/>
    <w:tmpl w:val="44F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80755"/>
    <w:multiLevelType w:val="hybridMultilevel"/>
    <w:tmpl w:val="1BA02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EE"/>
    <w:rsid w:val="003515EE"/>
    <w:rsid w:val="006D52C8"/>
    <w:rsid w:val="008C466F"/>
    <w:rsid w:val="00B0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E70"/>
  <w15:chartTrackingRefBased/>
  <w15:docId w15:val="{6368EF5A-F05F-49D1-A2AF-9B165A4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466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15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351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C4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C46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asyl.de/pressemitteilung/bezahlkarte-per-gesetz-verschaerf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r-paritaetische.de/alle-meldungen/bezahlkarten-fuer-asylbewerberinnen-paritaetischer-lehnt-einfuehrung-ab/" TargetMode="External"/><Relationship Id="rId12" Type="http://schemas.openxmlformats.org/officeDocument/2006/relationships/hyperlink" Target="https://www.ssoar.info/ssoar/handle/document/67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destag.de/resource/blob/986462/c13a97b53db6e730db7a28774c646dfe/WD-3-138-23-pdf.pdf" TargetMode="External"/><Relationship Id="rId11" Type="http://schemas.openxmlformats.org/officeDocument/2006/relationships/hyperlink" Target="https://www.frnrw.de/fileadmin/frnrw/media/downloads/In_eigener_Sache/Schnellinfo/Schnellinfo_02_2024.pdf" TargetMode="External"/><Relationship Id="rId5" Type="http://schemas.openxmlformats.org/officeDocument/2006/relationships/hyperlink" Target="https://www.bundestag.de/dokumente/textarchiv/2023/kw41-de-bezahlkarte-970834" TargetMode="External"/><Relationship Id="rId10" Type="http://schemas.openxmlformats.org/officeDocument/2006/relationships/hyperlink" Target="https://gruene-fraktion-nrw.de/fachnewsletter-ausgaben/kommunalinfo-aktueller-sachstand-zur-bezahlkarte-fuer-gefluecht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-fluerat.org/wp-content/uploads/2024/01/WD-3-138-23-AsylbL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1</cp:revision>
  <dcterms:created xsi:type="dcterms:W3CDTF">2024-03-03T06:55:00Z</dcterms:created>
  <dcterms:modified xsi:type="dcterms:W3CDTF">2024-03-03T07:33:00Z</dcterms:modified>
</cp:coreProperties>
</file>